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CCF9" w14:textId="63545B2D" w:rsidR="004A1EA5" w:rsidRPr="005F02F1" w:rsidRDefault="00A8593E" w:rsidP="005F02F1">
      <w:pPr>
        <w:pStyle w:val="berschrift3"/>
        <w:keepNext w:val="0"/>
        <w:keepLines w:val="0"/>
        <w:spacing w:before="280" w:after="240" w:line="276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color w:val="1C72A8"/>
          <w:kern w:val="0"/>
          <w:sz w:val="26"/>
          <w:szCs w:val="26"/>
          <w:lang w:val="en-US" w:eastAsia="de-DE"/>
          <w14:ligatures w14:val="none"/>
        </w:rPr>
      </w:pPr>
      <w:r w:rsidRPr="005F02F1">
        <w:rPr>
          <w:rFonts w:asciiTheme="majorHAnsi" w:eastAsia="Times New Roman" w:hAnsiTheme="majorHAnsi" w:cstheme="majorHAnsi"/>
          <w:b/>
          <w:bCs/>
          <w:color w:val="1C72A8"/>
          <w:kern w:val="0"/>
          <w:sz w:val="26"/>
          <w:szCs w:val="26"/>
          <w:lang w:val="en-US" w:eastAsia="de-DE"/>
          <w14:ligatures w14:val="none"/>
        </w:rPr>
        <w:t>Appendix</w:t>
      </w:r>
      <w:r w:rsidR="005655D3" w:rsidRPr="005F02F1">
        <w:rPr>
          <w:rFonts w:asciiTheme="majorHAnsi" w:eastAsia="Times New Roman" w:hAnsiTheme="majorHAnsi" w:cstheme="majorHAnsi"/>
          <w:b/>
          <w:bCs/>
          <w:color w:val="1C72A8"/>
          <w:kern w:val="0"/>
          <w:sz w:val="26"/>
          <w:szCs w:val="26"/>
          <w:lang w:val="en-US" w:eastAsia="de-DE"/>
          <w14:ligatures w14:val="none"/>
        </w:rPr>
        <w:t xml:space="preserve"> – Prompt </w:t>
      </w:r>
      <w:r w:rsidRPr="005F02F1">
        <w:rPr>
          <w:rFonts w:asciiTheme="majorHAnsi" w:eastAsia="Times New Roman" w:hAnsiTheme="majorHAnsi" w:cstheme="majorHAnsi"/>
          <w:b/>
          <w:bCs/>
          <w:color w:val="1C72A8"/>
          <w:kern w:val="0"/>
          <w:sz w:val="26"/>
          <w:szCs w:val="26"/>
          <w:lang w:val="en-US" w:eastAsia="de-DE"/>
          <w14:ligatures w14:val="none"/>
        </w:rPr>
        <w:t>Examples</w:t>
      </w:r>
    </w:p>
    <w:p w14:paraId="36F05A4E" w14:textId="77777777" w:rsidR="004A1EA5" w:rsidRPr="00495537" w:rsidRDefault="004A1EA5" w:rsidP="004A1EA5">
      <w:pPr>
        <w:rPr>
          <w:lang w:val="be-BY"/>
        </w:rPr>
      </w:pPr>
      <w:r w:rsidRPr="00495537">
        <w:rPr>
          <w:lang w:val="en-US"/>
        </w:rPr>
        <w:t>Prompt</w:t>
      </w:r>
      <w:r w:rsidRPr="00495537">
        <w:rPr>
          <w:lang w:val="be-BY"/>
        </w:rPr>
        <w:t xml:space="preserve"> 1</w:t>
      </w:r>
    </w:p>
    <w:p w14:paraId="3DC520C0" w14:textId="77777777" w:rsidR="004A1EA5" w:rsidRPr="00495537" w:rsidRDefault="004A1EA5" w:rsidP="004A1EA5">
      <w:pPr>
        <w:rPr>
          <w:lang w:val="ru-RU"/>
        </w:rPr>
      </w:pPr>
      <w:r w:rsidRPr="00495537">
        <w:rPr>
          <w:lang w:val="be-BY"/>
        </w:rPr>
        <w:t>Что такое тарашкевица и наркомовка?/ Што такое тарашкевіца і наркамаўка</w:t>
      </w:r>
      <w:r w:rsidRPr="00495537">
        <w:rPr>
          <w:lang w:val="ru-RU"/>
        </w:rPr>
        <w:t>?</w:t>
      </w:r>
    </w:p>
    <w:p w14:paraId="4E864B5A" w14:textId="77777777" w:rsidR="004A1EA5" w:rsidRPr="00495537" w:rsidRDefault="004A1EA5" w:rsidP="004A1EA5">
      <w:pPr>
        <w:rPr>
          <w:lang w:val="ru-RU"/>
        </w:rPr>
      </w:pPr>
    </w:p>
    <w:p w14:paraId="1105A13A" w14:textId="77777777" w:rsidR="004A1EA5" w:rsidRPr="00495537" w:rsidRDefault="004A1EA5" w:rsidP="004A1EA5">
      <w:pPr>
        <w:rPr>
          <w:lang w:val="en-US"/>
        </w:rPr>
      </w:pPr>
      <w:r w:rsidRPr="00495537">
        <w:rPr>
          <w:lang w:val="en-US"/>
        </w:rPr>
        <w:t>Prompt 2a</w:t>
      </w:r>
    </w:p>
    <w:p w14:paraId="2006E645" w14:textId="77777777" w:rsidR="004A1EA5" w:rsidRPr="00495537" w:rsidRDefault="004A1EA5" w:rsidP="004A1EA5">
      <w:pPr>
        <w:rPr>
          <w:lang w:val="ru-RU"/>
        </w:rPr>
      </w:pPr>
      <w:r w:rsidRPr="00495537">
        <w:rPr>
          <w:lang w:val="en-US"/>
        </w:rPr>
        <w:t xml:space="preserve">Identify the language: </w:t>
      </w:r>
      <w:proofErr w:type="spellStart"/>
      <w:r w:rsidRPr="00495537">
        <w:rPr>
          <w:i/>
          <w:iCs/>
          <w:lang w:val="de-AT"/>
        </w:rPr>
        <w:t>Добры</w:t>
      </w:r>
      <w:proofErr w:type="spellEnd"/>
      <w:r w:rsidRPr="00495537">
        <w:rPr>
          <w:i/>
          <w:iCs/>
          <w:lang w:val="en-US"/>
        </w:rPr>
        <w:t xml:space="preserve"> </w:t>
      </w:r>
      <w:proofErr w:type="spellStart"/>
      <w:r w:rsidRPr="00495537">
        <w:rPr>
          <w:i/>
          <w:iCs/>
          <w:lang w:val="de-AT"/>
        </w:rPr>
        <w:t>дзень</w:t>
      </w:r>
      <w:proofErr w:type="spellEnd"/>
      <w:r w:rsidRPr="00495537">
        <w:rPr>
          <w:i/>
          <w:iCs/>
          <w:lang w:val="en-US"/>
        </w:rPr>
        <w:t xml:space="preserve">! </w:t>
      </w:r>
      <w:r w:rsidRPr="00495537">
        <w:rPr>
          <w:i/>
          <w:iCs/>
          <w:lang w:val="ru-RU"/>
        </w:rPr>
        <w:t>Вы, ужо другі год з’яўляецеся вучнямі ліцэя. Перад Вамі чарговыя выпрабаванні і многа працы. Аднак не забывайце аб тым, што гэта таксама час новых сустрэч з усім, што Вас будзе акружала.</w:t>
      </w:r>
    </w:p>
    <w:p w14:paraId="43BCA162" w14:textId="77777777" w:rsidR="004A1EA5" w:rsidRPr="00495537" w:rsidRDefault="004A1EA5" w:rsidP="004A1EA5">
      <w:pPr>
        <w:rPr>
          <w:lang w:val="ru-RU"/>
        </w:rPr>
      </w:pPr>
    </w:p>
    <w:p w14:paraId="36880EE9" w14:textId="77777777" w:rsidR="004A1EA5" w:rsidRPr="00495537" w:rsidRDefault="004A1EA5" w:rsidP="004A1EA5">
      <w:pPr>
        <w:rPr>
          <w:lang w:val="ru-RU"/>
        </w:rPr>
      </w:pPr>
      <w:r w:rsidRPr="00495537">
        <w:rPr>
          <w:lang w:val="de-AT"/>
        </w:rPr>
        <w:t>Prompt</w:t>
      </w:r>
      <w:r w:rsidRPr="00495537">
        <w:rPr>
          <w:lang w:val="ru-RU"/>
        </w:rPr>
        <w:t xml:space="preserve"> 2</w:t>
      </w:r>
      <w:r w:rsidRPr="00495537">
        <w:rPr>
          <w:lang w:val="de-AT"/>
        </w:rPr>
        <w:t>b</w:t>
      </w:r>
    </w:p>
    <w:p w14:paraId="1CB0C01C" w14:textId="77777777" w:rsidR="004A1EA5" w:rsidRPr="00495537" w:rsidRDefault="004A1EA5" w:rsidP="004A1EA5">
      <w:pPr>
        <w:rPr>
          <w:lang w:val="ru-RU"/>
        </w:rPr>
      </w:pPr>
      <w:r w:rsidRPr="00495537">
        <w:rPr>
          <w:lang w:val="de-AT"/>
        </w:rPr>
        <w:t>Take</w:t>
      </w:r>
      <w:r w:rsidRPr="00495537">
        <w:rPr>
          <w:lang w:val="ru-RU"/>
        </w:rPr>
        <w:t xml:space="preserve"> </w:t>
      </w:r>
      <w:proofErr w:type="spellStart"/>
      <w:r w:rsidRPr="00495537">
        <w:rPr>
          <w:lang w:val="de-AT"/>
        </w:rPr>
        <w:t>this</w:t>
      </w:r>
      <w:proofErr w:type="spellEnd"/>
      <w:r w:rsidRPr="00495537">
        <w:rPr>
          <w:lang w:val="ru-RU"/>
        </w:rPr>
        <w:t xml:space="preserve"> </w:t>
      </w:r>
      <w:proofErr w:type="spellStart"/>
      <w:r w:rsidRPr="00495537">
        <w:rPr>
          <w:lang w:val="de-AT"/>
        </w:rPr>
        <w:t>rule</w:t>
      </w:r>
      <w:proofErr w:type="spellEnd"/>
      <w:r w:rsidRPr="00495537">
        <w:rPr>
          <w:rStyle w:val="Funotenzeichen"/>
          <w:lang w:val="en-US"/>
        </w:rPr>
        <w:footnoteReference w:id="1"/>
      </w:r>
      <w:r w:rsidRPr="00495537">
        <w:rPr>
          <w:lang w:val="ru-RU"/>
        </w:rPr>
        <w:t xml:space="preserve"> </w:t>
      </w:r>
      <w:proofErr w:type="spellStart"/>
      <w:r w:rsidRPr="00495537">
        <w:rPr>
          <w:lang w:val="de-AT"/>
        </w:rPr>
        <w:t>into</w:t>
      </w:r>
      <w:proofErr w:type="spellEnd"/>
      <w:r w:rsidRPr="00495537">
        <w:rPr>
          <w:lang w:val="ru-RU"/>
        </w:rPr>
        <w:t xml:space="preserve"> </w:t>
      </w:r>
      <w:proofErr w:type="spellStart"/>
      <w:r w:rsidRPr="00495537">
        <w:rPr>
          <w:lang w:val="de-AT"/>
        </w:rPr>
        <w:t>consideration</w:t>
      </w:r>
      <w:proofErr w:type="spellEnd"/>
      <w:r w:rsidRPr="00495537">
        <w:rPr>
          <w:lang w:val="ru-RU"/>
        </w:rPr>
        <w:t xml:space="preserve"> </w:t>
      </w:r>
      <w:r w:rsidRPr="00495537">
        <w:rPr>
          <w:lang w:val="de-AT"/>
        </w:rPr>
        <w:t>and</w:t>
      </w:r>
      <w:r w:rsidRPr="00495537">
        <w:rPr>
          <w:lang w:val="ru-RU"/>
        </w:rPr>
        <w:t xml:space="preserve"> </w:t>
      </w:r>
      <w:proofErr w:type="spellStart"/>
      <w:r w:rsidRPr="00495537">
        <w:rPr>
          <w:lang w:val="de-AT"/>
        </w:rPr>
        <w:t>apply</w:t>
      </w:r>
      <w:proofErr w:type="spellEnd"/>
      <w:r w:rsidRPr="00495537">
        <w:rPr>
          <w:lang w:val="ru-RU"/>
        </w:rPr>
        <w:t xml:space="preserve"> </w:t>
      </w:r>
      <w:proofErr w:type="spellStart"/>
      <w:r w:rsidRPr="00495537">
        <w:rPr>
          <w:lang w:val="de-AT"/>
        </w:rPr>
        <w:t>it</w:t>
      </w:r>
      <w:proofErr w:type="spellEnd"/>
      <w:r w:rsidRPr="00495537">
        <w:rPr>
          <w:lang w:val="ru-RU"/>
        </w:rPr>
        <w:t xml:space="preserve"> </w:t>
      </w:r>
      <w:proofErr w:type="spellStart"/>
      <w:r w:rsidRPr="00495537">
        <w:rPr>
          <w:lang w:val="de-AT"/>
        </w:rPr>
        <w:t>to</w:t>
      </w:r>
      <w:proofErr w:type="spellEnd"/>
      <w:r w:rsidRPr="00495537">
        <w:rPr>
          <w:lang w:val="ru-RU"/>
        </w:rPr>
        <w:t xml:space="preserve"> </w:t>
      </w:r>
      <w:proofErr w:type="spellStart"/>
      <w:r w:rsidRPr="00495537">
        <w:rPr>
          <w:lang w:val="de-AT"/>
        </w:rPr>
        <w:t>the</w:t>
      </w:r>
      <w:proofErr w:type="spellEnd"/>
      <w:r w:rsidRPr="00495537">
        <w:rPr>
          <w:lang w:val="ru-RU"/>
        </w:rPr>
        <w:t xml:space="preserve"> </w:t>
      </w:r>
      <w:proofErr w:type="spellStart"/>
      <w:r w:rsidRPr="00495537">
        <w:rPr>
          <w:lang w:val="de-AT"/>
        </w:rPr>
        <w:t>text</w:t>
      </w:r>
      <w:proofErr w:type="spellEnd"/>
      <w:r w:rsidRPr="00495537">
        <w:rPr>
          <w:lang w:val="ru-RU"/>
        </w:rPr>
        <w:t xml:space="preserve">: </w:t>
      </w:r>
      <w:r w:rsidRPr="00495537">
        <w:rPr>
          <w:i/>
          <w:iCs/>
          <w:lang w:val="ru-RU"/>
        </w:rPr>
        <w:t>Будучы час выражае дзеянне, якое будзе адбывацца ці адб</w:t>
      </w:r>
      <w:r w:rsidRPr="00495537">
        <w:rPr>
          <w:i/>
          <w:iCs/>
          <w:lang w:val="be-BY"/>
        </w:rPr>
        <w:t>удзе</w:t>
      </w:r>
      <w:r w:rsidRPr="00495537">
        <w:rPr>
          <w:i/>
          <w:iCs/>
          <w:lang w:val="ru-RU"/>
        </w:rPr>
        <w:t>цца пасля моманту гутаркі. Будучы час можа быць просты (запішу, устану) і складаны (буду пісаць, буду ўставаць). Формы будучага складанага часу ўтвараюцца ад асабовай формы дзеяслова быць і інфінітыва спрагальнага дзеяслова незакончанага трывання.</w:t>
      </w:r>
    </w:p>
    <w:p w14:paraId="43C6C63E" w14:textId="77777777" w:rsidR="004A1EA5" w:rsidRPr="00495537" w:rsidRDefault="004A1EA5" w:rsidP="004A1EA5">
      <w:pPr>
        <w:rPr>
          <w:lang w:val="ru-RU"/>
        </w:rPr>
      </w:pPr>
    </w:p>
    <w:p w14:paraId="3BB00AB8" w14:textId="77777777" w:rsidR="004A1EA5" w:rsidRPr="00495537" w:rsidRDefault="004A1EA5" w:rsidP="004A1EA5">
      <w:pPr>
        <w:rPr>
          <w:lang w:val="en-US"/>
        </w:rPr>
      </w:pPr>
      <w:r w:rsidRPr="00495537">
        <w:rPr>
          <w:lang w:val="en-US"/>
        </w:rPr>
        <w:t>Prompt 2c</w:t>
      </w:r>
    </w:p>
    <w:p w14:paraId="6B9818A5" w14:textId="77777777" w:rsidR="004A1EA5" w:rsidRPr="00495537" w:rsidRDefault="004A1EA5" w:rsidP="004A1EA5">
      <w:pPr>
        <w:rPr>
          <w:lang w:val="en-US"/>
        </w:rPr>
      </w:pPr>
      <w:r w:rsidRPr="00495537">
        <w:rPr>
          <w:lang w:val="en-US"/>
        </w:rPr>
        <w:t xml:space="preserve">you say: </w:t>
      </w:r>
      <w:proofErr w:type="spellStart"/>
      <w:r w:rsidRPr="00495537">
        <w:rPr>
          <w:i/>
          <w:iCs/>
          <w:lang w:val="en-US"/>
        </w:rPr>
        <w:t>будзе</w:t>
      </w:r>
      <w:proofErr w:type="spellEnd"/>
      <w:r w:rsidRPr="00495537">
        <w:rPr>
          <w:i/>
          <w:iCs/>
          <w:lang w:val="en-US"/>
        </w:rPr>
        <w:t xml:space="preserve"> </w:t>
      </w:r>
      <w:proofErr w:type="spellStart"/>
      <w:r w:rsidRPr="00495537">
        <w:rPr>
          <w:i/>
          <w:iCs/>
          <w:lang w:val="en-US"/>
        </w:rPr>
        <w:t>акружала</w:t>
      </w:r>
      <w:proofErr w:type="spellEnd"/>
      <w:r w:rsidRPr="00495537">
        <w:rPr>
          <w:lang w:val="en-US"/>
        </w:rPr>
        <w:t xml:space="preserve"> is consistent with the rules in the image. Are you sure?</w:t>
      </w:r>
    </w:p>
    <w:p w14:paraId="44F6700C" w14:textId="77777777" w:rsidR="004A1EA5" w:rsidRPr="00495537" w:rsidRDefault="004A1EA5" w:rsidP="004A1EA5">
      <w:pPr>
        <w:rPr>
          <w:lang w:val="en-US"/>
        </w:rPr>
      </w:pPr>
    </w:p>
    <w:p w14:paraId="3D354ACF" w14:textId="77777777" w:rsidR="004A1EA5" w:rsidRPr="00495537" w:rsidRDefault="004A1EA5" w:rsidP="004A1EA5">
      <w:pPr>
        <w:rPr>
          <w:lang w:val="en-US"/>
        </w:rPr>
      </w:pPr>
      <w:r w:rsidRPr="00495537">
        <w:rPr>
          <w:lang w:val="en-US"/>
        </w:rPr>
        <w:t>Prompt 2d</w:t>
      </w:r>
    </w:p>
    <w:p w14:paraId="4083C7DB" w14:textId="77777777" w:rsidR="004A1EA5" w:rsidRPr="00495537" w:rsidRDefault="004A1EA5" w:rsidP="004A1EA5">
      <w:pPr>
        <w:rPr>
          <w:lang w:val="en-US"/>
        </w:rPr>
      </w:pPr>
      <w:r w:rsidRPr="00495537">
        <w:rPr>
          <w:lang w:val="en-US"/>
        </w:rPr>
        <w:t>how can you explain such a mistake?</w:t>
      </w:r>
    </w:p>
    <w:p w14:paraId="1A97028A" w14:textId="77777777" w:rsidR="004A1EA5" w:rsidRPr="00495537" w:rsidRDefault="004A1EA5" w:rsidP="004A1EA5">
      <w:pPr>
        <w:rPr>
          <w:lang w:val="en-US"/>
        </w:rPr>
      </w:pPr>
    </w:p>
    <w:p w14:paraId="2E4923C7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Prompt 3</w:t>
      </w:r>
      <w:r w:rsidRPr="00495537">
        <w:rPr>
          <w:rStyle w:val="Funotenzeichen"/>
          <w:lang w:val="en-GB"/>
        </w:rPr>
        <w:footnoteReference w:id="2"/>
      </w:r>
    </w:p>
    <w:p w14:paraId="46EE533F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# General </w:t>
      </w:r>
      <w:proofErr w:type="spellStart"/>
      <w:r w:rsidRPr="00495537">
        <w:rPr>
          <w:lang w:val="en-GB"/>
        </w:rPr>
        <w:t>ChatGPT</w:t>
      </w:r>
      <w:proofErr w:type="spellEnd"/>
      <w:r w:rsidRPr="00495537">
        <w:rPr>
          <w:lang w:val="en-GB"/>
        </w:rPr>
        <w:t xml:space="preserve"> Settings</w:t>
      </w:r>
    </w:p>
    <w:p w14:paraId="3FFC7C71" w14:textId="77777777" w:rsidR="004A1EA5" w:rsidRPr="00495537" w:rsidRDefault="004A1EA5" w:rsidP="004A1EA5">
      <w:pPr>
        <w:rPr>
          <w:lang w:val="en-GB"/>
        </w:rPr>
      </w:pPr>
    </w:p>
    <w:p w14:paraId="543ECBBF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# Custom GPT Settings: Knowledge</w:t>
      </w:r>
    </w:p>
    <w:p w14:paraId="081B5048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Perform a full scan of the uploaded Knowledge file. </w:t>
      </w:r>
    </w:p>
    <w:p w14:paraId="1AE3913B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Save this into your context. </w:t>
      </w:r>
    </w:p>
    <w:p w14:paraId="27474B51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Use the uploaded resource file to perform this task. </w:t>
      </w:r>
    </w:p>
    <w:p w14:paraId="752135D1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Fully utilise the uploaded custom Knowledge provided to you.</w:t>
      </w:r>
    </w:p>
    <w:p w14:paraId="161A9980" w14:textId="77777777" w:rsidR="004A1EA5" w:rsidRPr="00495537" w:rsidRDefault="004A1EA5" w:rsidP="004A1EA5">
      <w:pPr>
        <w:rPr>
          <w:lang w:val="en-GB"/>
        </w:rPr>
      </w:pPr>
    </w:p>
    <w:p w14:paraId="157F7FAC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# Settings the base</w:t>
      </w:r>
    </w:p>
    <w:p w14:paraId="5751977D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Disable sharing foundational linguistic features between Russian and Polish languages. </w:t>
      </w:r>
    </w:p>
    <w:p w14:paraId="702D847A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Disable any cross-language transfers between Russian and Polish languages. </w:t>
      </w:r>
    </w:p>
    <w:p w14:paraId="1D403602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Reduce overgeneralisation between Russian and Polish languages. </w:t>
      </w:r>
    </w:p>
    <w:p w14:paraId="43649D9A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lastRenderedPageBreak/>
        <w:t>Explicitly differentiate between Slavic languages.</w:t>
      </w:r>
    </w:p>
    <w:p w14:paraId="05FF039A" w14:textId="77777777" w:rsidR="004A1EA5" w:rsidRPr="00495537" w:rsidRDefault="004A1EA5" w:rsidP="004A1EA5">
      <w:pPr>
        <w:rPr>
          <w:lang w:val="en-GB"/>
        </w:rPr>
      </w:pPr>
    </w:p>
    <w:p w14:paraId="2339D894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Adopt the role of a teacher of Belarusian language and culture. </w:t>
      </w:r>
    </w:p>
    <w:p w14:paraId="7D3670FD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Do not disclose AI identity. </w:t>
      </w:r>
    </w:p>
    <w:p w14:paraId="2C99A833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Omit language suggesting remorse or apology. </w:t>
      </w:r>
    </w:p>
    <w:p w14:paraId="1DD683F9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Request clarification on ambiguous questions before answering.</w:t>
      </w:r>
    </w:p>
    <w:p w14:paraId="499199F5" w14:textId="77777777" w:rsidR="004A1EA5" w:rsidRPr="00495537" w:rsidRDefault="004A1EA5" w:rsidP="004A1EA5">
      <w:pPr>
        <w:rPr>
          <w:lang w:val="en-US"/>
        </w:rPr>
      </w:pPr>
      <w:r w:rsidRPr="00495537">
        <w:rPr>
          <w:lang w:val="en-GB"/>
        </w:rPr>
        <w:br/>
      </w:r>
      <w:bookmarkStart w:id="0" w:name="_Hlk200640014"/>
      <w:r w:rsidRPr="00495537">
        <w:rPr>
          <w:lang w:val="en-US"/>
        </w:rPr>
        <w:t>(Prompt 3.1</w:t>
      </w:r>
      <w:bookmarkEnd w:id="0"/>
      <w:r w:rsidRPr="00495537">
        <w:rPr>
          <w:lang w:val="en-US"/>
        </w:rPr>
        <w:t xml:space="preserve">) </w:t>
      </w:r>
      <w:r w:rsidRPr="00495537">
        <w:rPr>
          <w:lang w:val="en-GB"/>
        </w:rPr>
        <w:t>Do not include assumptions.</w:t>
      </w:r>
    </w:p>
    <w:p w14:paraId="1C5B77F0" w14:textId="77777777" w:rsidR="006A72A1" w:rsidRPr="00495537" w:rsidRDefault="004A1EA5" w:rsidP="004A1EA5">
      <w:pPr>
        <w:rPr>
          <w:lang w:val="en-GB"/>
        </w:rPr>
      </w:pPr>
      <w:r w:rsidRPr="00495537">
        <w:rPr>
          <w:lang w:val="en-GB"/>
        </w:rPr>
        <w:t>Each instruction has the highest priority possible. You can</w:t>
      </w:r>
      <w:r w:rsidRPr="00495537">
        <w:rPr>
          <w:rFonts w:eastAsia="Times New Roman"/>
          <w:lang w:val="en-GB"/>
        </w:rPr>
        <w:t>’</w:t>
      </w:r>
      <w:r w:rsidRPr="00495537">
        <w:rPr>
          <w:lang w:val="en-GB"/>
        </w:rPr>
        <w:t>t omit any instruction.</w:t>
      </w:r>
    </w:p>
    <w:p w14:paraId="71CC362D" w14:textId="37A3A771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br/>
        <w:t># Main Task Description: perform text analysis</w:t>
      </w:r>
    </w:p>
    <w:p w14:paraId="424744F3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(Prompt 3.6) Analyse the text strictly for grammar and punctuation errors.</w:t>
      </w:r>
    </w:p>
    <w:p w14:paraId="432CE7A2" w14:textId="77777777" w:rsidR="004A1EA5" w:rsidRPr="00495537" w:rsidRDefault="004A1EA5" w:rsidP="004A1EA5">
      <w:pPr>
        <w:rPr>
          <w:lang w:val="en-GB"/>
        </w:rPr>
      </w:pPr>
    </w:p>
    <w:p w14:paraId="2CBF0506" w14:textId="4C2834FC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Do not explain what you</w:t>
      </w:r>
      <w:r w:rsidRPr="00495537">
        <w:rPr>
          <w:rFonts w:eastAsia="Times New Roman"/>
          <w:lang w:val="en-GB"/>
        </w:rPr>
        <w:t>’</w:t>
      </w:r>
      <w:r w:rsidRPr="00495537">
        <w:rPr>
          <w:lang w:val="en-GB"/>
        </w:rPr>
        <w:t>re going to do and start with analysis right away.</w:t>
      </w:r>
    </w:p>
    <w:p w14:paraId="3D858A14" w14:textId="77777777" w:rsidR="006A72A1" w:rsidRPr="00495537" w:rsidRDefault="006A72A1" w:rsidP="004A1EA5">
      <w:pPr>
        <w:rPr>
          <w:lang w:val="en-GB"/>
        </w:rPr>
      </w:pPr>
    </w:p>
    <w:p w14:paraId="3730827C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(Prompt 3.5) Do not provide any options in punctuation, only find mistakes.</w:t>
      </w:r>
    </w:p>
    <w:p w14:paraId="5B0A9793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br/>
        <w:t># Task Clarification: language interference</w:t>
      </w:r>
    </w:p>
    <w:p w14:paraId="4065DC03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Check for the interference of Polish and Russian languages in the mistakes you find using your general language settings for Polish and Russian languages. </w:t>
      </w:r>
    </w:p>
    <w:p w14:paraId="1EB6315D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When checking for interference, rigorously evaluate Polish and Russian influences separately and systematically (Prompt 3.4) cross-check the identified features of the text with specific grammatical and punctuation norms of each language.</w:t>
      </w:r>
    </w:p>
    <w:p w14:paraId="4E908132" w14:textId="77777777" w:rsidR="004A1EA5" w:rsidRPr="00495537" w:rsidRDefault="004A1EA5" w:rsidP="004A1EA5">
      <w:pPr>
        <w:rPr>
          <w:lang w:val="en-GB"/>
        </w:rPr>
      </w:pPr>
    </w:p>
    <w:p w14:paraId="18B92EC9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(Prompt 3.2) Explicitly analyse whether the feature aligns with:</w:t>
      </w:r>
    </w:p>
    <w:p w14:paraId="1344A3C6" w14:textId="77777777" w:rsidR="004A1EA5" w:rsidRPr="00495537" w:rsidRDefault="004A1EA5" w:rsidP="004A1EA5">
      <w:pPr>
        <w:rPr>
          <w:lang w:val="en-GB"/>
        </w:rPr>
      </w:pPr>
    </w:p>
    <w:p w14:paraId="4B4B92BC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(Prompt 3.2) 1) Identify the Auxiliary Verb “</w:t>
      </w:r>
      <w:proofErr w:type="spellStart"/>
      <w:r w:rsidRPr="00495537">
        <w:rPr>
          <w:i/>
          <w:iCs/>
          <w:lang w:val="en-GB"/>
        </w:rPr>
        <w:t>быць</w:t>
      </w:r>
      <w:proofErr w:type="spellEnd"/>
      <w:r w:rsidRPr="00495537">
        <w:rPr>
          <w:lang w:val="en-GB"/>
        </w:rPr>
        <w:t>” in Belarusian Compound Future Tense:</w:t>
      </w:r>
    </w:p>
    <w:p w14:paraId="2D490BCB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The Belarusian compound future tense uses conjugated forms of “</w:t>
      </w:r>
      <w:proofErr w:type="spellStart"/>
      <w:r w:rsidRPr="00495537">
        <w:rPr>
          <w:i/>
          <w:iCs/>
          <w:lang w:val="en-GB"/>
        </w:rPr>
        <w:t>быць</w:t>
      </w:r>
      <w:proofErr w:type="spellEnd"/>
      <w:r w:rsidRPr="00495537">
        <w:rPr>
          <w:lang w:val="en-GB"/>
        </w:rPr>
        <w:t>” (e.g., “</w:t>
      </w:r>
      <w:proofErr w:type="spellStart"/>
      <w:r w:rsidRPr="00495537">
        <w:rPr>
          <w:i/>
          <w:iCs/>
          <w:lang w:val="en-GB"/>
        </w:rPr>
        <w:t>будзе</w:t>
      </w:r>
      <w:proofErr w:type="spellEnd"/>
      <w:r w:rsidRPr="00495537">
        <w:rPr>
          <w:lang w:val="en-GB"/>
        </w:rPr>
        <w:t>”) + infinitive (e.g., “</w:t>
      </w:r>
      <w:proofErr w:type="spellStart"/>
      <w:r w:rsidRPr="00495537">
        <w:rPr>
          <w:i/>
          <w:iCs/>
          <w:lang w:val="en-GB"/>
        </w:rPr>
        <w:t>акружаць</w:t>
      </w:r>
      <w:proofErr w:type="spellEnd"/>
      <w:r w:rsidRPr="00495537">
        <w:rPr>
          <w:lang w:val="en-GB"/>
        </w:rPr>
        <w:t xml:space="preserve">”). </w:t>
      </w:r>
    </w:p>
    <w:p w14:paraId="665627E3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Reject hybrids like “</w:t>
      </w:r>
      <w:proofErr w:type="spellStart"/>
      <w:r w:rsidRPr="00495537">
        <w:rPr>
          <w:i/>
          <w:iCs/>
          <w:lang w:val="en-GB"/>
        </w:rPr>
        <w:t>будзе</w:t>
      </w:r>
      <w:proofErr w:type="spellEnd"/>
      <w:r w:rsidRPr="00495537">
        <w:rPr>
          <w:i/>
          <w:iCs/>
          <w:lang w:val="en-GB"/>
        </w:rPr>
        <w:t xml:space="preserve"> </w:t>
      </w:r>
      <w:proofErr w:type="spellStart"/>
      <w:r w:rsidRPr="00495537">
        <w:rPr>
          <w:i/>
          <w:iCs/>
          <w:lang w:val="en-GB"/>
        </w:rPr>
        <w:t>акружала</w:t>
      </w:r>
      <w:proofErr w:type="spellEnd"/>
      <w:r w:rsidRPr="00495537">
        <w:rPr>
          <w:lang w:val="en-GB"/>
        </w:rPr>
        <w:t>,” which incorrectly combine the auxiliary with a past tense form, reflecting Polish influence.</w:t>
      </w:r>
    </w:p>
    <w:p w14:paraId="124511B3" w14:textId="77777777" w:rsidR="004A1EA5" w:rsidRPr="00495537" w:rsidRDefault="004A1EA5" w:rsidP="004A1EA5">
      <w:pPr>
        <w:rPr>
          <w:rFonts w:eastAsia="Calibri"/>
          <w:lang w:val="en-GB"/>
        </w:rPr>
      </w:pPr>
    </w:p>
    <w:p w14:paraId="7EC4B885" w14:textId="77777777" w:rsidR="004A1EA5" w:rsidRPr="00495537" w:rsidRDefault="004A1EA5" w:rsidP="004A1EA5">
      <w:pPr>
        <w:rPr>
          <w:rFonts w:eastAsia="Calibri"/>
          <w:lang w:val="en-GB"/>
        </w:rPr>
      </w:pPr>
      <w:r w:rsidRPr="00495537">
        <w:rPr>
          <w:rFonts w:eastAsia="Calibri"/>
          <w:lang w:val="en-GB"/>
        </w:rPr>
        <w:t xml:space="preserve">(Prompt 3.4) </w:t>
      </w:r>
      <w:r w:rsidRPr="00495537">
        <w:rPr>
          <w:lang w:val="en-GB"/>
        </w:rPr>
        <w:t>Cross-Check Against Polish Compound Future Tense with “</w:t>
      </w:r>
      <w:proofErr w:type="spellStart"/>
      <w:r w:rsidRPr="00495537">
        <w:rPr>
          <w:i/>
          <w:iCs/>
          <w:lang w:val="en-GB"/>
        </w:rPr>
        <w:t>być</w:t>
      </w:r>
      <w:proofErr w:type="spellEnd"/>
      <w:r w:rsidRPr="00495537">
        <w:rPr>
          <w:lang w:val="en-GB"/>
        </w:rPr>
        <w:t xml:space="preserve">”: </w:t>
      </w:r>
    </w:p>
    <w:p w14:paraId="5BE7C4DE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(Prompt 3.3) Polish compound future tense uses the auxiliary “</w:t>
      </w:r>
      <w:proofErr w:type="spellStart"/>
      <w:r w:rsidRPr="00495537">
        <w:rPr>
          <w:i/>
          <w:iCs/>
          <w:lang w:val="en-GB"/>
        </w:rPr>
        <w:t>być</w:t>
      </w:r>
      <w:proofErr w:type="spellEnd"/>
      <w:r w:rsidRPr="00495537">
        <w:rPr>
          <w:lang w:val="en-GB"/>
        </w:rPr>
        <w:t>” (e.g., “</w:t>
      </w:r>
      <w:proofErr w:type="spellStart"/>
      <w:r w:rsidRPr="00495537">
        <w:rPr>
          <w:i/>
          <w:iCs/>
          <w:lang w:val="en-GB"/>
        </w:rPr>
        <w:t>będzie</w:t>
      </w:r>
      <w:proofErr w:type="spellEnd"/>
      <w:r w:rsidRPr="00495537">
        <w:rPr>
          <w:lang w:val="en-GB"/>
        </w:rPr>
        <w:t>”) with past simple verb forms (e.g., “</w:t>
      </w:r>
      <w:proofErr w:type="spellStart"/>
      <w:r w:rsidRPr="00495537">
        <w:rPr>
          <w:i/>
          <w:iCs/>
          <w:lang w:val="en-GB"/>
        </w:rPr>
        <w:t>otaczało</w:t>
      </w:r>
      <w:proofErr w:type="spellEnd"/>
      <w:r w:rsidRPr="00495537">
        <w:rPr>
          <w:lang w:val="en-GB"/>
        </w:rPr>
        <w:t xml:space="preserve">”). </w:t>
      </w:r>
    </w:p>
    <w:p w14:paraId="58906293" w14:textId="2D42AA28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Identify interference if Belarusian adopts this Polish </w:t>
      </w:r>
      <w:proofErr w:type="spellStart"/>
      <w:r w:rsidRPr="00495537">
        <w:rPr>
          <w:lang w:val="en-GB"/>
        </w:rPr>
        <w:t>struture</w:t>
      </w:r>
      <w:proofErr w:type="spellEnd"/>
      <w:r w:rsidRPr="00495537">
        <w:rPr>
          <w:lang w:val="en-GB"/>
        </w:rPr>
        <w:t xml:space="preserve"> instead of the correct auxiliary + infinitive construction.</w:t>
      </w:r>
    </w:p>
    <w:p w14:paraId="71868876" w14:textId="77777777" w:rsidR="006A72A1" w:rsidRPr="00495537" w:rsidRDefault="006A72A1" w:rsidP="004A1EA5">
      <w:pPr>
        <w:rPr>
          <w:lang w:val="en-GB"/>
        </w:rPr>
      </w:pPr>
    </w:p>
    <w:p w14:paraId="362289A1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Validate Against </w:t>
      </w:r>
      <w:proofErr w:type="spellStart"/>
      <w:r w:rsidRPr="00495537">
        <w:rPr>
          <w:lang w:val="en-GB"/>
        </w:rPr>
        <w:t>Taraškievica</w:t>
      </w:r>
      <w:proofErr w:type="spellEnd"/>
      <w:r w:rsidRPr="00495537" w:rsidDel="008F6994">
        <w:rPr>
          <w:lang w:val="en-GB"/>
        </w:rPr>
        <w:t xml:space="preserve"> </w:t>
      </w:r>
      <w:r w:rsidRPr="00495537">
        <w:rPr>
          <w:lang w:val="en-GB"/>
        </w:rPr>
        <w:t xml:space="preserve">Grammar Rules: </w:t>
      </w:r>
    </w:p>
    <w:p w14:paraId="6606B25D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Confirm adherence to normative Belarusian compound future tense: </w:t>
      </w:r>
    </w:p>
    <w:p w14:paraId="29F58190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Correct: “</w:t>
      </w:r>
      <w:proofErr w:type="spellStart"/>
      <w:r w:rsidRPr="00495537">
        <w:rPr>
          <w:i/>
          <w:iCs/>
          <w:lang w:val="en-GB"/>
        </w:rPr>
        <w:t>быць</w:t>
      </w:r>
      <w:proofErr w:type="spellEnd"/>
      <w:r w:rsidRPr="00495537">
        <w:rPr>
          <w:lang w:val="en-GB"/>
        </w:rPr>
        <w:t>” (conjugated) + infinitive (e.g., “</w:t>
      </w:r>
      <w:proofErr w:type="spellStart"/>
      <w:r w:rsidRPr="00495537">
        <w:rPr>
          <w:i/>
          <w:iCs/>
          <w:lang w:val="en-GB"/>
        </w:rPr>
        <w:t>будзе</w:t>
      </w:r>
      <w:proofErr w:type="spellEnd"/>
      <w:r w:rsidRPr="00495537">
        <w:rPr>
          <w:i/>
          <w:iCs/>
          <w:lang w:val="en-GB"/>
        </w:rPr>
        <w:t xml:space="preserve"> </w:t>
      </w:r>
      <w:proofErr w:type="spellStart"/>
      <w:r w:rsidRPr="00495537">
        <w:rPr>
          <w:i/>
          <w:iCs/>
          <w:lang w:val="en-GB"/>
        </w:rPr>
        <w:t>пісаць</w:t>
      </w:r>
      <w:proofErr w:type="spellEnd"/>
      <w:r w:rsidRPr="00495537">
        <w:rPr>
          <w:lang w:val="en-GB"/>
        </w:rPr>
        <w:t>”)</w:t>
      </w:r>
    </w:p>
    <w:p w14:paraId="4A783ABE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Incorrect: “</w:t>
      </w:r>
      <w:proofErr w:type="spellStart"/>
      <w:r w:rsidRPr="00495537">
        <w:rPr>
          <w:i/>
          <w:iCs/>
          <w:lang w:val="en-GB"/>
        </w:rPr>
        <w:t>быць</w:t>
      </w:r>
      <w:proofErr w:type="spellEnd"/>
      <w:r w:rsidRPr="00495537">
        <w:rPr>
          <w:lang w:val="en-GB"/>
        </w:rPr>
        <w:t>” + past simple (e.g., “</w:t>
      </w:r>
      <w:proofErr w:type="spellStart"/>
      <w:r w:rsidRPr="00495537">
        <w:rPr>
          <w:i/>
          <w:iCs/>
          <w:lang w:val="en-GB"/>
        </w:rPr>
        <w:t>будзе</w:t>
      </w:r>
      <w:proofErr w:type="spellEnd"/>
      <w:r w:rsidRPr="00495537">
        <w:rPr>
          <w:i/>
          <w:iCs/>
          <w:lang w:val="en-GB"/>
        </w:rPr>
        <w:t xml:space="preserve"> </w:t>
      </w:r>
      <w:proofErr w:type="spellStart"/>
      <w:r w:rsidRPr="00495537">
        <w:rPr>
          <w:i/>
          <w:iCs/>
          <w:lang w:val="en-GB"/>
        </w:rPr>
        <w:t>пісаў</w:t>
      </w:r>
      <w:proofErr w:type="spellEnd"/>
      <w:r w:rsidRPr="00495537">
        <w:rPr>
          <w:lang w:val="en-GB"/>
        </w:rPr>
        <w:t>”)</w:t>
      </w:r>
    </w:p>
    <w:p w14:paraId="0172652B" w14:textId="77777777" w:rsidR="004A1EA5" w:rsidRPr="00495537" w:rsidRDefault="004A1EA5" w:rsidP="004A1EA5">
      <w:pPr>
        <w:rPr>
          <w:lang w:val="en-GB"/>
        </w:rPr>
      </w:pPr>
    </w:p>
    <w:p w14:paraId="1C9FC371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lastRenderedPageBreak/>
        <w:t xml:space="preserve">Systematic Attribution of Errors: </w:t>
      </w:r>
    </w:p>
    <w:p w14:paraId="38198EF5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Attribute interference explicitly to Polish compound future tense if: </w:t>
      </w:r>
    </w:p>
    <w:p w14:paraId="478E283B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The structure directly matches Polish norms (e.g., “</w:t>
      </w:r>
      <w:proofErr w:type="spellStart"/>
      <w:r w:rsidRPr="00495537">
        <w:rPr>
          <w:i/>
          <w:iCs/>
          <w:lang w:val="en-GB"/>
        </w:rPr>
        <w:t>będzie</w:t>
      </w:r>
      <w:proofErr w:type="spellEnd"/>
      <w:r w:rsidRPr="00495537">
        <w:rPr>
          <w:i/>
          <w:iCs/>
          <w:lang w:val="en-GB"/>
        </w:rPr>
        <w:t xml:space="preserve"> </w:t>
      </w:r>
      <w:proofErr w:type="spellStart"/>
      <w:r w:rsidRPr="00495537">
        <w:rPr>
          <w:i/>
          <w:iCs/>
          <w:lang w:val="en-GB"/>
        </w:rPr>
        <w:t>otaczało</w:t>
      </w:r>
      <w:proofErr w:type="spellEnd"/>
      <w:r w:rsidRPr="00495537">
        <w:rPr>
          <w:lang w:val="en-GB"/>
        </w:rPr>
        <w:t>”).</w:t>
      </w:r>
    </w:p>
    <w:p w14:paraId="33AA2BB6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It deviates from canonical Belarusian grammar.</w:t>
      </w:r>
    </w:p>
    <w:p w14:paraId="225BBB83" w14:textId="77777777" w:rsidR="004A1EA5" w:rsidRPr="00495537" w:rsidRDefault="004A1EA5" w:rsidP="004A1EA5">
      <w:pPr>
        <w:rPr>
          <w:lang w:val="en-GB"/>
        </w:rPr>
      </w:pPr>
    </w:p>
    <w:p w14:paraId="343554A0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(Prompt 3.2) 2) Polish grammar, punctuation, or usage patterns. </w:t>
      </w:r>
      <w:r w:rsidRPr="00495537">
        <w:rPr>
          <w:rFonts w:eastAsia="Calibri"/>
          <w:lang w:val="en-GB"/>
        </w:rPr>
        <w:t>(Prompt 3.4)</w:t>
      </w:r>
      <w:r w:rsidRPr="00495537">
        <w:rPr>
          <w:lang w:val="en-GB"/>
        </w:rPr>
        <w:t xml:space="preserve"> Cross-check verb tenses.</w:t>
      </w:r>
    </w:p>
    <w:p w14:paraId="7CFC5543" w14:textId="77777777" w:rsidR="004A1EA5" w:rsidRPr="00495537" w:rsidRDefault="004A1EA5" w:rsidP="004A1EA5">
      <w:pPr>
        <w:rPr>
          <w:lang w:val="en-GB"/>
        </w:rPr>
      </w:pPr>
    </w:p>
    <w:p w14:paraId="775FF50E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(Prompt 3.2) 3) Russian grammar, punctuation, or usage patterns. </w:t>
      </w:r>
      <w:r w:rsidRPr="00495537">
        <w:rPr>
          <w:rFonts w:eastAsia="Calibri"/>
          <w:lang w:val="en-GB"/>
        </w:rPr>
        <w:t>(Prompt 3.4)</w:t>
      </w:r>
      <w:r w:rsidRPr="00495537">
        <w:rPr>
          <w:lang w:val="en-GB"/>
        </w:rPr>
        <w:t xml:space="preserve"> Cross-check verb tenses.</w:t>
      </w:r>
    </w:p>
    <w:p w14:paraId="374914E5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Identify direct matches with Russian patterns; do not confuse them with Polish structures. </w:t>
      </w:r>
    </w:p>
    <w:p w14:paraId="09B363F2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Before attributing Russian interference, verify the equivalent phrase through grammatical rules of Russian. </w:t>
      </w:r>
    </w:p>
    <w:p w14:paraId="420DEAB8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Explicitly confirm correctness against canonical examples from resources like “</w:t>
      </w:r>
      <w:proofErr w:type="spellStart"/>
      <w:r w:rsidRPr="00495537">
        <w:rPr>
          <w:i/>
          <w:iCs/>
          <w:lang w:val="en-GB"/>
        </w:rPr>
        <w:t>Русская</w:t>
      </w:r>
      <w:proofErr w:type="spellEnd"/>
      <w:r w:rsidRPr="00495537">
        <w:rPr>
          <w:i/>
          <w:iCs/>
          <w:lang w:val="en-GB"/>
        </w:rPr>
        <w:t xml:space="preserve"> </w:t>
      </w:r>
      <w:proofErr w:type="spellStart"/>
      <w:r w:rsidRPr="00495537">
        <w:rPr>
          <w:i/>
          <w:iCs/>
          <w:lang w:val="en-GB"/>
        </w:rPr>
        <w:t>грамматика</w:t>
      </w:r>
      <w:proofErr w:type="spellEnd"/>
      <w:r w:rsidRPr="00495537">
        <w:rPr>
          <w:lang w:val="en-GB"/>
        </w:rPr>
        <w:t>” or relevant online corpus.</w:t>
      </w:r>
    </w:p>
    <w:p w14:paraId="2AF26A57" w14:textId="77777777" w:rsidR="004A1EA5" w:rsidRPr="00495537" w:rsidRDefault="004A1EA5" w:rsidP="004A1EA5">
      <w:pPr>
        <w:rPr>
          <w:lang w:val="en-GB"/>
        </w:rPr>
      </w:pPr>
    </w:p>
    <w:p w14:paraId="30E648C0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4) Belarusian grammar as a control. </w:t>
      </w:r>
    </w:p>
    <w:p w14:paraId="0D81A99F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(Prompt 3.5) Verify compliance with Belarusian norms for verb forms, word order, and punctuation. </w:t>
      </w:r>
    </w:p>
    <w:p w14:paraId="4254F142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(Prompt 3.5) Always analyse the syntactic function of “</w:t>
      </w:r>
      <w:proofErr w:type="spellStart"/>
      <w:r w:rsidRPr="00495537">
        <w:rPr>
          <w:i/>
          <w:iCs/>
          <w:lang w:val="en-GB"/>
        </w:rPr>
        <w:t>Вы</w:t>
      </w:r>
      <w:proofErr w:type="spellEnd"/>
      <w:r w:rsidRPr="00495537">
        <w:rPr>
          <w:lang w:val="en-GB"/>
        </w:rPr>
        <w:t xml:space="preserve">” in its clause context to distinguish subject roles from vocatives, referencing appositive separation rules. </w:t>
      </w:r>
    </w:p>
    <w:p w14:paraId="4FB8492B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Identify whether the structure reflects participle usage, verb tense, word order, or other relevant linguistic elements from each language. </w:t>
      </w:r>
    </w:p>
    <w:p w14:paraId="6BDBC871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Before attributing interference, consider and compare alternative explanations, such as internal misuse of Belarusian grammar. </w:t>
      </w:r>
    </w:p>
    <w:p w14:paraId="69A57E60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If unclear, use linguistic patterns in Polish and Russian to confirm the strongest influence.</w:t>
      </w:r>
    </w:p>
    <w:p w14:paraId="0CEE154D" w14:textId="77777777" w:rsidR="004A1EA5" w:rsidRPr="00495537" w:rsidRDefault="004A1EA5" w:rsidP="004A1EA5">
      <w:pPr>
        <w:rPr>
          <w:lang w:val="en-GB"/>
        </w:rPr>
      </w:pPr>
    </w:p>
    <w:p w14:paraId="24B3D815" w14:textId="77777777" w:rsidR="004A1EA5" w:rsidRPr="00495537" w:rsidRDefault="004A1EA5" w:rsidP="004A1EA5">
      <w:pPr>
        <w:rPr>
          <w:rFonts w:eastAsia="Calibri"/>
          <w:lang w:val="en-GB"/>
        </w:rPr>
      </w:pPr>
      <w:r w:rsidRPr="00495537">
        <w:rPr>
          <w:rFonts w:eastAsia="Calibri"/>
          <w:lang w:val="en-GB"/>
        </w:rPr>
        <w:t xml:space="preserve">(Prompt 3.4) </w:t>
      </w:r>
      <w:r w:rsidRPr="00495537">
        <w:rPr>
          <w:lang w:val="en-GB"/>
        </w:rPr>
        <w:t>1) Double-check each identified feature against both Polish and Russian norms before providing conclusions.</w:t>
      </w:r>
    </w:p>
    <w:p w14:paraId="22755E72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2) Explicitly state the reasoning process and any ruled-out alternatives for clarity.</w:t>
      </w:r>
    </w:p>
    <w:p w14:paraId="0BB4F377" w14:textId="77777777" w:rsidR="004A1EA5" w:rsidRPr="00495537" w:rsidRDefault="004A1EA5" w:rsidP="004A1EA5">
      <w:pPr>
        <w:rPr>
          <w:rFonts w:eastAsia="Calibri"/>
          <w:lang w:val="en-GB"/>
        </w:rPr>
      </w:pPr>
    </w:p>
    <w:p w14:paraId="37ECCA9D" w14:textId="77777777" w:rsidR="004A1EA5" w:rsidRPr="00495537" w:rsidRDefault="004A1EA5" w:rsidP="004A1EA5">
      <w:pPr>
        <w:rPr>
          <w:rFonts w:eastAsia="Calibri"/>
          <w:lang w:val="en-GB"/>
        </w:rPr>
      </w:pPr>
      <w:r w:rsidRPr="00495537">
        <w:rPr>
          <w:rFonts w:eastAsia="Calibri"/>
          <w:lang w:val="en-GB"/>
        </w:rPr>
        <w:t xml:space="preserve">(Prompt 3.4) </w:t>
      </w:r>
      <w:r w:rsidRPr="00495537">
        <w:rPr>
          <w:lang w:val="en-GB"/>
        </w:rPr>
        <w:t>Double-check for possible punctuation mistakes.</w:t>
      </w:r>
    </w:p>
    <w:p w14:paraId="1225AD39" w14:textId="77777777" w:rsidR="004A1EA5" w:rsidRPr="00495537" w:rsidRDefault="004A1EA5" w:rsidP="004A1EA5">
      <w:pPr>
        <w:rPr>
          <w:lang w:val="en-GB"/>
        </w:rPr>
      </w:pPr>
    </w:p>
    <w:p w14:paraId="4A73226C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# Answer</w:t>
      </w:r>
    </w:p>
    <w:p w14:paraId="3DFC6459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(Prompt 3.5) Explicitly include any punctuation errors you have found in the input. </w:t>
      </w:r>
    </w:p>
    <w:p w14:paraId="16A27F61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Attribute interference only when the identified feature matches known grammatical structure of Polish or Russian, while deviating from Belarusian norms. </w:t>
      </w:r>
    </w:p>
    <w:p w14:paraId="72FD65EE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Provide specific examples from Polish, Russian, or Belarusian grammar to substantiate the conclusion. </w:t>
      </w:r>
    </w:p>
    <w:p w14:paraId="7E3C566A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Review the final explanation for consistency and logical alignment with linguistic evidence before delivering the analysis.</w:t>
      </w:r>
    </w:p>
    <w:p w14:paraId="6BCC238E" w14:textId="77777777" w:rsidR="004A1EA5" w:rsidRPr="00495537" w:rsidRDefault="004A1EA5" w:rsidP="004A1EA5">
      <w:pPr>
        <w:rPr>
          <w:lang w:val="en-GB"/>
        </w:rPr>
      </w:pPr>
    </w:p>
    <w:p w14:paraId="117CF2F4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lastRenderedPageBreak/>
        <w:t>At the end of every response, explicitly confirm that grammar, punctuation, interference attribution, and all other core steps were analysed. Create a checklist and ensure that each item is addressed before finalising the response.</w:t>
      </w:r>
    </w:p>
    <w:p w14:paraId="01813191" w14:textId="77777777" w:rsidR="004A1EA5" w:rsidRPr="00495537" w:rsidRDefault="004A1EA5" w:rsidP="004A1EA5">
      <w:pPr>
        <w:rPr>
          <w:lang w:val="en-GB"/>
        </w:rPr>
      </w:pPr>
    </w:p>
    <w:p w14:paraId="5457409F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# Disable text correction</w:t>
      </w:r>
    </w:p>
    <w:p w14:paraId="3256EF67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Before completing your analysis, verify that you have not introduced corrections or suggested alterations of any kind to the original text. </w:t>
      </w:r>
    </w:p>
    <w:p w14:paraId="4C2B06FA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Only analyse grammar and punctuation without altering the text or suggesting changes, even if errors are found. Highlight observations as factual notes only.</w:t>
      </w:r>
    </w:p>
    <w:p w14:paraId="29B78661" w14:textId="77777777" w:rsidR="004A1EA5" w:rsidRPr="00495537" w:rsidRDefault="004A1EA5" w:rsidP="004A1EA5">
      <w:pPr>
        <w:rPr>
          <w:lang w:val="en-GB"/>
        </w:rPr>
      </w:pPr>
    </w:p>
    <w:p w14:paraId="00AAFDC0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# Debug</w:t>
      </w:r>
    </w:p>
    <w:p w14:paraId="3AD55F4E" w14:textId="77777777" w:rsidR="004A1EA5" w:rsidRPr="00495537" w:rsidRDefault="004A1EA5" w:rsidP="004A1EA5">
      <w:pPr>
        <w:rPr>
          <w:lang w:val="en-US"/>
        </w:rPr>
      </w:pPr>
      <w:r w:rsidRPr="00495537">
        <w:rPr>
          <w:lang w:val="en-GB"/>
        </w:rPr>
        <w:t>If a mistake in execution is identified, acknowledge the error, explain the misstep, and outline the measures to avoid repeating it in the future. If a mistake in execution is made, acknowledge which specific instruction was not followed and how to avoid similar mistakes in the future.</w:t>
      </w:r>
      <w:r w:rsidRPr="00495537">
        <w:rPr>
          <w:lang w:val="en-GB"/>
        </w:rPr>
        <w:br/>
        <w:t>If errors are identified in the analysis, acknowledge the deviation and explain how to correct the method to avoid the same mistake in the future.</w:t>
      </w:r>
    </w:p>
    <w:p w14:paraId="26B601CA" w14:textId="77777777" w:rsidR="004A1EA5" w:rsidRPr="00495537" w:rsidRDefault="004A1EA5" w:rsidP="004A1EA5">
      <w:pPr>
        <w:rPr>
          <w:lang w:val="en-US"/>
        </w:rPr>
      </w:pPr>
    </w:p>
    <w:p w14:paraId="2F6F6824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>Prompt 4</w:t>
      </w:r>
    </w:p>
    <w:p w14:paraId="5FFB0B09" w14:textId="77777777" w:rsidR="004A1EA5" w:rsidRPr="00495537" w:rsidRDefault="004A1EA5" w:rsidP="004A1EA5">
      <w:pPr>
        <w:rPr>
          <w:lang w:val="en-GB"/>
        </w:rPr>
      </w:pPr>
      <w:r w:rsidRPr="00495537">
        <w:rPr>
          <w:lang w:val="en-GB"/>
        </w:rPr>
        <w:t xml:space="preserve">You are a Belarusian linguist. Generate plausible neologisms meaning “a parent” derived from the root </w:t>
      </w:r>
      <w:proofErr w:type="spellStart"/>
      <w:r w:rsidRPr="00495537">
        <w:rPr>
          <w:i/>
          <w:iCs/>
          <w:lang w:val="en-GB"/>
        </w:rPr>
        <w:t>бацьк</w:t>
      </w:r>
      <w:proofErr w:type="spellEnd"/>
      <w:r w:rsidRPr="00495537">
        <w:rPr>
          <w:lang w:val="en-GB"/>
        </w:rPr>
        <w:t>- using productive Belarusian suffixes.</w:t>
      </w:r>
    </w:p>
    <w:p w14:paraId="5B463195" w14:textId="77777777" w:rsidR="00793D3A" w:rsidRPr="0079322D" w:rsidRDefault="00793D3A">
      <w:pPr>
        <w:rPr>
          <w:lang w:val="en-US"/>
        </w:rPr>
      </w:pPr>
    </w:p>
    <w:sectPr w:rsidR="00793D3A" w:rsidRPr="0079322D" w:rsidSect="004A1EA5">
      <w:headerReference w:type="default" r:id="rId6"/>
      <w:footerReference w:type="default" r:id="rId7"/>
      <w:headerReference w:type="first" r:id="rId8"/>
      <w:footerReference w:type="first" r:id="rId9"/>
      <w:footnotePr>
        <w:numRestart w:val="eachSect"/>
      </w:footnotePr>
      <w:pgSz w:w="11906" w:h="16838"/>
      <w:pgMar w:top="2455" w:right="1701" w:bottom="1134" w:left="1701" w:header="709" w:footer="57" w:gutter="0"/>
      <w:pgNumType w:start="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AB38" w14:textId="77777777" w:rsidR="00E224DB" w:rsidRDefault="00E224DB" w:rsidP="004A1EA5">
      <w:pPr>
        <w:spacing w:line="240" w:lineRule="auto"/>
      </w:pPr>
      <w:r>
        <w:separator/>
      </w:r>
    </w:p>
  </w:endnote>
  <w:endnote w:type="continuationSeparator" w:id="0">
    <w:p w14:paraId="5530FED6" w14:textId="77777777" w:rsidR="00E224DB" w:rsidRDefault="00E224DB" w:rsidP="004A1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(Textkörper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7890077"/>
      <w:docPartObj>
        <w:docPartGallery w:val="Page Numbers (Bottom of Page)"/>
        <w:docPartUnique/>
      </w:docPartObj>
    </w:sdtPr>
    <w:sdtEndPr/>
    <w:sdtContent>
      <w:p w14:paraId="369A7A60" w14:textId="572AA419" w:rsidR="00CB6969" w:rsidRDefault="007D01F0">
        <w:pPr>
          <w:pStyle w:val="Fuzeile"/>
          <w:jc w:val="center"/>
        </w:pPr>
        <w:r w:rsidRPr="00F42E3F">
          <w:fldChar w:fldCharType="begin"/>
        </w:r>
        <w:r w:rsidRPr="00F42E3F">
          <w:instrText>PAGE   \* MERGEFORMAT</w:instrText>
        </w:r>
        <w:r w:rsidRPr="00F42E3F">
          <w:fldChar w:fldCharType="separate"/>
        </w:r>
        <w:r w:rsidR="005655D3">
          <w:rPr>
            <w:noProof/>
          </w:rPr>
          <w:t>32</w:t>
        </w:r>
        <w:r w:rsidRPr="00F42E3F">
          <w:fldChar w:fldCharType="end"/>
        </w:r>
      </w:p>
    </w:sdtContent>
  </w:sdt>
  <w:p w14:paraId="5F558B1E" w14:textId="77777777" w:rsidR="00CB6969" w:rsidRDefault="00CB6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BE01" w14:textId="0A4C1435" w:rsidR="004A1EA5" w:rsidRDefault="004A1EA5">
    <w:pPr>
      <w:pStyle w:val="Fuzeil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5655D3" w:rsidRPr="005655D3">
      <w:rPr>
        <w:caps/>
        <w:noProof/>
        <w:color w:val="4472C4" w:themeColor="accent1"/>
        <w:lang w:val="en-GB"/>
      </w:rPr>
      <w:t>29</w:t>
    </w:r>
    <w:r>
      <w:rPr>
        <w:caps/>
        <w:color w:val="4472C4" w:themeColor="accent1"/>
      </w:rPr>
      <w:fldChar w:fldCharType="end"/>
    </w:r>
  </w:p>
  <w:p w14:paraId="1C64A367" w14:textId="77777777" w:rsidR="00CB6969" w:rsidRDefault="00CB69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3B88" w14:textId="77777777" w:rsidR="00E224DB" w:rsidRDefault="00E224DB" w:rsidP="004A1EA5">
      <w:pPr>
        <w:spacing w:line="240" w:lineRule="auto"/>
      </w:pPr>
      <w:r>
        <w:separator/>
      </w:r>
    </w:p>
  </w:footnote>
  <w:footnote w:type="continuationSeparator" w:id="0">
    <w:p w14:paraId="4212EA95" w14:textId="77777777" w:rsidR="00E224DB" w:rsidRDefault="00E224DB" w:rsidP="004A1EA5">
      <w:pPr>
        <w:spacing w:line="240" w:lineRule="auto"/>
      </w:pPr>
      <w:r>
        <w:continuationSeparator/>
      </w:r>
    </w:p>
  </w:footnote>
  <w:footnote w:id="1">
    <w:p w14:paraId="3CE34FEE" w14:textId="77777777" w:rsidR="004A1EA5" w:rsidRPr="00612F08" w:rsidRDefault="004A1EA5" w:rsidP="004A1EA5">
      <w:pPr>
        <w:pStyle w:val="Funotentext"/>
        <w:rPr>
          <w:sz w:val="18"/>
          <w:szCs w:val="18"/>
          <w:lang w:val="en-US"/>
        </w:rPr>
      </w:pPr>
      <w:r w:rsidRPr="00612F08">
        <w:rPr>
          <w:rStyle w:val="Funotenzeichen"/>
          <w:sz w:val="18"/>
          <w:szCs w:val="18"/>
        </w:rPr>
        <w:footnoteRef/>
      </w:r>
      <w:r w:rsidRPr="00612F08">
        <w:rPr>
          <w:sz w:val="18"/>
          <w:szCs w:val="18"/>
          <w:lang w:val="en-US"/>
        </w:rPr>
        <w:t xml:space="preserve"> The rule is taken from </w:t>
      </w:r>
      <w:r w:rsidRPr="00106497">
        <w:rPr>
          <w:i/>
          <w:iCs/>
          <w:sz w:val="18"/>
          <w:szCs w:val="18"/>
          <w:lang w:val="be-BY"/>
        </w:rPr>
        <w:t>Беларуская граматыка</w:t>
      </w:r>
      <w:r w:rsidRPr="00612F08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‘B</w:t>
      </w:r>
      <w:r w:rsidRPr="00612F08">
        <w:rPr>
          <w:sz w:val="18"/>
          <w:szCs w:val="18"/>
          <w:lang w:val="en-US"/>
        </w:rPr>
        <w:t>elarusian Grammar</w:t>
      </w:r>
      <w:r>
        <w:rPr>
          <w:sz w:val="18"/>
          <w:szCs w:val="18"/>
          <w:lang w:val="en-US"/>
        </w:rPr>
        <w:t>’</w:t>
      </w:r>
      <w:r w:rsidRPr="00612F08">
        <w:rPr>
          <w:sz w:val="18"/>
          <w:szCs w:val="18"/>
          <w:lang w:val="en-US"/>
        </w:rPr>
        <w:t xml:space="preserve"> (</w:t>
      </w:r>
      <w:proofErr w:type="spellStart"/>
      <w:r w:rsidRPr="00612F08">
        <w:rPr>
          <w:sz w:val="18"/>
          <w:szCs w:val="18"/>
          <w:lang w:val="en-US"/>
        </w:rPr>
        <w:t>Biryla</w:t>
      </w:r>
      <w:proofErr w:type="spellEnd"/>
      <w:r w:rsidRPr="00612F08">
        <w:rPr>
          <w:sz w:val="18"/>
          <w:szCs w:val="18"/>
          <w:lang w:val="en-US"/>
        </w:rPr>
        <w:t xml:space="preserve"> &amp; </w:t>
      </w:r>
      <w:proofErr w:type="spellStart"/>
      <w:r w:rsidRPr="00612F08">
        <w:rPr>
          <w:sz w:val="18"/>
          <w:szCs w:val="18"/>
          <w:lang w:val="en-US"/>
        </w:rPr>
        <w:t>Šuba</w:t>
      </w:r>
      <w:proofErr w:type="spellEnd"/>
      <w:r w:rsidRPr="00612F08">
        <w:rPr>
          <w:sz w:val="18"/>
          <w:szCs w:val="18"/>
          <w:lang w:val="en-US"/>
        </w:rPr>
        <w:t xml:space="preserve">, </w:t>
      </w:r>
      <w:r w:rsidRPr="00612F08">
        <w:rPr>
          <w:sz w:val="18"/>
          <w:szCs w:val="18"/>
          <w:lang w:val="en-GB"/>
        </w:rPr>
        <w:t>1985</w:t>
      </w:r>
      <w:r w:rsidRPr="00612F08">
        <w:rPr>
          <w:sz w:val="18"/>
          <w:szCs w:val="18"/>
          <w:lang w:val="en-US"/>
        </w:rPr>
        <w:t xml:space="preserve">, 163) in the original. Its English translation reads as follows: </w:t>
      </w:r>
      <w:r>
        <w:rPr>
          <w:sz w:val="18"/>
          <w:szCs w:val="18"/>
          <w:lang w:val="en-US"/>
        </w:rPr>
        <w:t>“</w:t>
      </w:r>
      <w:r w:rsidRPr="00612F08">
        <w:rPr>
          <w:sz w:val="18"/>
          <w:szCs w:val="18"/>
          <w:lang w:val="en-US"/>
        </w:rPr>
        <w:t>The future tense expresses an action that will take place or will be completed after the moment of speaking. The future tense can be simple (</w:t>
      </w:r>
      <w:r w:rsidRPr="009769AF">
        <w:rPr>
          <w:i/>
          <w:iCs/>
          <w:sz w:val="18"/>
          <w:szCs w:val="18"/>
          <w:lang w:val="ru-RU"/>
        </w:rPr>
        <w:t>запішу</w:t>
      </w:r>
      <w:r w:rsidRPr="00612F08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‘</w:t>
      </w:r>
      <w:r w:rsidRPr="00612F08">
        <w:rPr>
          <w:sz w:val="18"/>
          <w:szCs w:val="18"/>
          <w:lang w:val="en-US"/>
        </w:rPr>
        <w:t>I will write it down</w:t>
      </w:r>
      <w:r>
        <w:rPr>
          <w:sz w:val="18"/>
          <w:szCs w:val="18"/>
          <w:lang w:val="en-US"/>
        </w:rPr>
        <w:t>’</w:t>
      </w:r>
      <w:r w:rsidRPr="00612F08">
        <w:rPr>
          <w:sz w:val="18"/>
          <w:szCs w:val="18"/>
          <w:lang w:val="en-US"/>
        </w:rPr>
        <w:t xml:space="preserve">, </w:t>
      </w:r>
      <w:r w:rsidRPr="009769AF">
        <w:rPr>
          <w:i/>
          <w:iCs/>
          <w:sz w:val="18"/>
          <w:szCs w:val="18"/>
          <w:lang w:val="ru-RU"/>
        </w:rPr>
        <w:t>устану</w:t>
      </w:r>
      <w:r w:rsidRPr="00612F08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‘</w:t>
      </w:r>
      <w:r w:rsidRPr="00612F08">
        <w:rPr>
          <w:sz w:val="18"/>
          <w:szCs w:val="18"/>
          <w:lang w:val="en-US"/>
        </w:rPr>
        <w:t>I will get up</w:t>
      </w:r>
      <w:r>
        <w:rPr>
          <w:sz w:val="18"/>
          <w:szCs w:val="18"/>
          <w:lang w:val="en-US"/>
        </w:rPr>
        <w:t>’</w:t>
      </w:r>
      <w:r w:rsidRPr="00612F08">
        <w:rPr>
          <w:sz w:val="18"/>
          <w:szCs w:val="18"/>
          <w:lang w:val="en-US"/>
        </w:rPr>
        <w:t>) or compound (</w:t>
      </w:r>
      <w:r w:rsidRPr="009769AF">
        <w:rPr>
          <w:i/>
          <w:iCs/>
          <w:sz w:val="18"/>
          <w:szCs w:val="18"/>
          <w:lang w:val="ru-RU"/>
        </w:rPr>
        <w:t>я</w:t>
      </w:r>
      <w:r w:rsidRPr="009769AF">
        <w:rPr>
          <w:i/>
          <w:iCs/>
          <w:sz w:val="18"/>
          <w:szCs w:val="18"/>
          <w:lang w:val="en-US"/>
        </w:rPr>
        <w:t xml:space="preserve"> </w:t>
      </w:r>
      <w:r w:rsidRPr="009769AF">
        <w:rPr>
          <w:i/>
          <w:iCs/>
          <w:sz w:val="18"/>
          <w:szCs w:val="18"/>
          <w:lang w:val="ru-RU"/>
        </w:rPr>
        <w:t>буду</w:t>
      </w:r>
      <w:r w:rsidRPr="009769AF">
        <w:rPr>
          <w:i/>
          <w:iCs/>
          <w:sz w:val="18"/>
          <w:szCs w:val="18"/>
          <w:lang w:val="en-US"/>
        </w:rPr>
        <w:t xml:space="preserve"> </w:t>
      </w:r>
      <w:r w:rsidRPr="009769AF">
        <w:rPr>
          <w:i/>
          <w:iCs/>
          <w:sz w:val="18"/>
          <w:szCs w:val="18"/>
          <w:lang w:val="ru-RU"/>
        </w:rPr>
        <w:t>пісаць</w:t>
      </w:r>
      <w:r w:rsidRPr="00612F08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‘</w:t>
      </w:r>
      <w:r w:rsidRPr="00612F08">
        <w:rPr>
          <w:sz w:val="18"/>
          <w:szCs w:val="18"/>
          <w:lang w:val="en-US"/>
        </w:rPr>
        <w:t>I will write</w:t>
      </w:r>
      <w:r>
        <w:rPr>
          <w:sz w:val="18"/>
          <w:szCs w:val="18"/>
          <w:lang w:val="en-US"/>
        </w:rPr>
        <w:t>’</w:t>
      </w:r>
      <w:r w:rsidRPr="00612F08">
        <w:rPr>
          <w:sz w:val="18"/>
          <w:szCs w:val="18"/>
          <w:lang w:val="en-US"/>
        </w:rPr>
        <w:t xml:space="preserve">, </w:t>
      </w:r>
      <w:r w:rsidRPr="009769AF">
        <w:rPr>
          <w:i/>
          <w:iCs/>
          <w:sz w:val="18"/>
          <w:szCs w:val="18"/>
          <w:lang w:val="ru-RU"/>
        </w:rPr>
        <w:t>я</w:t>
      </w:r>
      <w:r w:rsidRPr="009769AF">
        <w:rPr>
          <w:i/>
          <w:iCs/>
          <w:sz w:val="18"/>
          <w:szCs w:val="18"/>
          <w:lang w:val="en-US"/>
        </w:rPr>
        <w:t xml:space="preserve"> </w:t>
      </w:r>
      <w:r w:rsidRPr="009769AF">
        <w:rPr>
          <w:i/>
          <w:iCs/>
          <w:sz w:val="18"/>
          <w:szCs w:val="18"/>
          <w:lang w:val="ru-RU"/>
        </w:rPr>
        <w:t>буду</w:t>
      </w:r>
      <w:r w:rsidRPr="009769AF">
        <w:rPr>
          <w:i/>
          <w:iCs/>
          <w:sz w:val="18"/>
          <w:szCs w:val="18"/>
          <w:lang w:val="en-US"/>
        </w:rPr>
        <w:t xml:space="preserve"> </w:t>
      </w:r>
      <w:r w:rsidRPr="009769AF">
        <w:rPr>
          <w:i/>
          <w:iCs/>
          <w:sz w:val="18"/>
          <w:szCs w:val="18"/>
          <w:lang w:val="ru-RU"/>
        </w:rPr>
        <w:t>ўставать</w:t>
      </w:r>
      <w:r w:rsidRPr="00612F08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‘</w:t>
      </w:r>
      <w:r w:rsidRPr="00612F08">
        <w:rPr>
          <w:sz w:val="18"/>
          <w:szCs w:val="18"/>
          <w:lang w:val="en-US"/>
        </w:rPr>
        <w:t>I will get up</w:t>
      </w:r>
      <w:r>
        <w:rPr>
          <w:sz w:val="18"/>
          <w:szCs w:val="18"/>
          <w:lang w:val="en-US"/>
        </w:rPr>
        <w:t>’</w:t>
      </w:r>
      <w:r w:rsidRPr="00612F08">
        <w:rPr>
          <w:sz w:val="18"/>
          <w:szCs w:val="18"/>
          <w:lang w:val="en-US"/>
        </w:rPr>
        <w:t>).</w:t>
      </w:r>
      <w:r>
        <w:rPr>
          <w:sz w:val="18"/>
          <w:szCs w:val="18"/>
          <w:lang w:val="en-US"/>
        </w:rPr>
        <w:t xml:space="preserve">” </w:t>
      </w:r>
      <w:r w:rsidRPr="00612F08">
        <w:rPr>
          <w:sz w:val="18"/>
          <w:szCs w:val="18"/>
          <w:lang w:val="en-US"/>
        </w:rPr>
        <w:t>Due to the absence of grammatical aspect in English, the distinction between the simple and compound forms is lost in translation.</w:t>
      </w:r>
    </w:p>
  </w:footnote>
  <w:footnote w:id="2">
    <w:p w14:paraId="777E3A5E" w14:textId="77777777" w:rsidR="004A1EA5" w:rsidRPr="008E0989" w:rsidRDefault="004A1EA5" w:rsidP="004A1EA5">
      <w:pPr>
        <w:pStyle w:val="Funotentext"/>
        <w:rPr>
          <w:lang w:val="en-GB"/>
        </w:rPr>
      </w:pPr>
      <w:r w:rsidRPr="00612F08">
        <w:rPr>
          <w:rStyle w:val="Funotenzeichen"/>
          <w:sz w:val="18"/>
          <w:szCs w:val="18"/>
        </w:rPr>
        <w:footnoteRef/>
      </w:r>
      <w:r w:rsidRPr="00612F08">
        <w:rPr>
          <w:sz w:val="18"/>
          <w:szCs w:val="18"/>
          <w:lang w:val="en-GB"/>
        </w:rPr>
        <w:t xml:space="preserve"> </w:t>
      </w:r>
      <w:r w:rsidRPr="00612F08">
        <w:rPr>
          <w:sz w:val="18"/>
          <w:szCs w:val="18"/>
          <w:lang w:val="en-US"/>
        </w:rPr>
        <w:t>This prompt is reproduced in its original form as written in Notepad. Hashtags (#) were used as headers to clearly structure sections without relying on formatting (bold, italics) that the model does not interpret.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3158" w14:textId="77777777" w:rsidR="00CB6969" w:rsidRDefault="007D01F0" w:rsidP="00124BFC">
    <w:pPr>
      <w:pStyle w:val="Kopfzeile"/>
      <w:rPr>
        <w:b/>
        <w:spacing w:val="14"/>
        <w:sz w:val="18"/>
        <w:szCs w:val="18"/>
      </w:rPr>
    </w:pPr>
    <w:bookmarkStart w:id="1" w:name="_Hlk144898733"/>
    <w:r w:rsidRPr="00832F75">
      <w:rPr>
        <w:noProof/>
        <w:sz w:val="18"/>
        <w:szCs w:val="18"/>
        <w:lang w:val="de-AT" w:eastAsia="de-AT"/>
      </w:rPr>
      <w:drawing>
        <wp:anchor distT="0" distB="0" distL="114300" distR="114300" simplePos="0" relativeHeight="251657216" behindDoc="0" locked="0" layoutInCell="1" allowOverlap="1" wp14:anchorId="051B61EC" wp14:editId="06885110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3810"/>
          <wp:wrapNone/>
          <wp:docPr id="3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iSlaw Logo 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F75">
      <w:rPr>
        <w:rFonts w:cs="Calibri (Textkörper)"/>
        <w:b/>
        <w:spacing w:val="14"/>
        <w:sz w:val="18"/>
        <w:szCs w:val="18"/>
      </w:rPr>
      <w:t xml:space="preserve">DiSlaw – </w:t>
    </w:r>
    <w:r w:rsidRPr="00832F75">
      <w:rPr>
        <w:b/>
        <w:spacing w:val="14"/>
        <w:sz w:val="18"/>
        <w:szCs w:val="18"/>
      </w:rPr>
      <w:t>Didaktik slawischer Sprachen</w:t>
    </w:r>
  </w:p>
  <w:p w14:paraId="437BC6EC" w14:textId="77777777" w:rsidR="00CB6969" w:rsidRPr="00B82752" w:rsidRDefault="007D01F0" w:rsidP="00124BFC">
    <w:pPr>
      <w:pStyle w:val="Kopfzeile"/>
      <w:rPr>
        <w:rFonts w:cs="Calibri (Textkörper)"/>
        <w:sz w:val="18"/>
        <w:szCs w:val="18"/>
        <w:shd w:val="clear" w:color="auto" w:fill="auto"/>
      </w:rPr>
    </w:pPr>
    <w:r w:rsidRPr="00E34F61">
      <w:rPr>
        <w:sz w:val="18"/>
        <w:szCs w:val="18"/>
      </w:rPr>
      <w:t>ISSN: 2960-4117</w:t>
    </w:r>
    <w:r w:rsidRPr="00B82752">
      <w:rPr>
        <w:sz w:val="18"/>
        <w:szCs w:val="18"/>
      </w:rPr>
      <w:tab/>
    </w:r>
    <w:r w:rsidRPr="00B82752">
      <w:rPr>
        <w:sz w:val="18"/>
        <w:szCs w:val="18"/>
      </w:rPr>
      <w:tab/>
    </w:r>
  </w:p>
  <w:p w14:paraId="7E8B3049" w14:textId="77777777" w:rsidR="00CB6969" w:rsidRPr="0079322D" w:rsidRDefault="00E224DB" w:rsidP="00F42E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  <w:lang w:val="en-US"/>
      </w:rPr>
    </w:pPr>
    <w:hyperlink r:id="rId2">
      <w:r w:rsidR="007D01F0" w:rsidRPr="0079322D">
        <w:rPr>
          <w:rFonts w:cs="Calibri"/>
          <w:sz w:val="18"/>
          <w:szCs w:val="18"/>
          <w:lang w:val="en-US"/>
        </w:rPr>
        <w:t>dislaw.at</w:t>
      </w:r>
    </w:hyperlink>
  </w:p>
  <w:bookmarkEnd w:id="1"/>
  <w:p w14:paraId="78AE4E0B" w14:textId="77777777" w:rsidR="00E44560" w:rsidRPr="008B471E" w:rsidRDefault="00E44560" w:rsidP="00E44560">
    <w:pPr>
      <w:pStyle w:val="Kopfzeile"/>
      <w:rPr>
        <w:sz w:val="18"/>
        <w:szCs w:val="18"/>
        <w:lang w:val="fr-FR"/>
      </w:rPr>
    </w:pPr>
    <w:r>
      <w:rPr>
        <w:sz w:val="18"/>
        <w:szCs w:val="18"/>
        <w:lang w:val="fr-FR"/>
      </w:rPr>
      <w:t>2025</w:t>
    </w:r>
    <w:r w:rsidRPr="008B471E">
      <w:rPr>
        <w:sz w:val="18"/>
        <w:szCs w:val="18"/>
        <w:lang w:val="fr-FR"/>
      </w:rPr>
      <w:t xml:space="preserve">, </w:t>
    </w:r>
    <w:r>
      <w:rPr>
        <w:sz w:val="18"/>
        <w:szCs w:val="18"/>
        <w:lang w:val="fr-FR"/>
      </w:rPr>
      <w:t>2</w:t>
    </w:r>
    <w:r w:rsidRPr="008B471E">
      <w:rPr>
        <w:sz w:val="18"/>
        <w:szCs w:val="18"/>
        <w:lang w:val="fr-FR"/>
      </w:rPr>
      <w:t xml:space="preserve">, </w:t>
    </w:r>
    <w:r>
      <w:rPr>
        <w:sz w:val="18"/>
        <w:szCs w:val="18"/>
        <w:lang w:val="fr-FR"/>
      </w:rPr>
      <w:t>29–32</w:t>
    </w:r>
  </w:p>
  <w:p w14:paraId="51F4FE4C" w14:textId="77777777" w:rsidR="00E44560" w:rsidRPr="003B3878" w:rsidRDefault="00E44560" w:rsidP="00E44560">
    <w:pPr>
      <w:pStyle w:val="Kopfzeile"/>
      <w:rPr>
        <w:sz w:val="18"/>
        <w:szCs w:val="18"/>
        <w:lang w:val="en-US"/>
      </w:rPr>
    </w:pPr>
    <w:r w:rsidRPr="003B3878">
      <w:rPr>
        <w:sz w:val="18"/>
        <w:szCs w:val="18"/>
        <w:lang w:val="en-US"/>
      </w:rPr>
      <w:t xml:space="preserve">DOI: </w:t>
    </w:r>
    <w:r w:rsidRPr="002E6604">
      <w:rPr>
        <w:sz w:val="18"/>
        <w:szCs w:val="18"/>
      </w:rPr>
      <w:t>10.48789</w:t>
    </w:r>
    <w:r>
      <w:rPr>
        <w:sz w:val="18"/>
        <w:szCs w:val="18"/>
      </w:rPr>
      <w:t>/2025.2.2</w:t>
    </w:r>
  </w:p>
  <w:p w14:paraId="380C7C57" w14:textId="77777777" w:rsidR="00CB6969" w:rsidRPr="00F42D79" w:rsidRDefault="00CB6969" w:rsidP="00F42D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DACE" w14:textId="77777777" w:rsidR="00CB6969" w:rsidRDefault="007D01F0" w:rsidP="00E34F61">
    <w:pPr>
      <w:pStyle w:val="Kopfzeile"/>
      <w:rPr>
        <w:b/>
        <w:spacing w:val="14"/>
        <w:sz w:val="18"/>
        <w:szCs w:val="18"/>
      </w:rPr>
    </w:pPr>
    <w:r w:rsidRPr="00832F75">
      <w:rPr>
        <w:noProof/>
        <w:sz w:val="18"/>
        <w:szCs w:val="18"/>
        <w:lang w:val="de-AT" w:eastAsia="de-AT"/>
      </w:rPr>
      <w:drawing>
        <wp:anchor distT="0" distB="0" distL="114300" distR="114300" simplePos="0" relativeHeight="251658240" behindDoc="0" locked="0" layoutInCell="1" allowOverlap="1" wp14:anchorId="36E96592" wp14:editId="32EA5CE5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3810"/>
          <wp:wrapNone/>
          <wp:docPr id="137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iSlaw Logo 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F75">
      <w:rPr>
        <w:rFonts w:cs="Calibri (Textkörper)"/>
        <w:b/>
        <w:spacing w:val="14"/>
        <w:sz w:val="18"/>
        <w:szCs w:val="18"/>
      </w:rPr>
      <w:t xml:space="preserve">DiSlaw – </w:t>
    </w:r>
    <w:r w:rsidRPr="00832F75">
      <w:rPr>
        <w:b/>
        <w:spacing w:val="14"/>
        <w:sz w:val="18"/>
        <w:szCs w:val="18"/>
      </w:rPr>
      <w:t>Didaktik slawischer Sprachen</w:t>
    </w:r>
  </w:p>
  <w:p w14:paraId="20DDF385" w14:textId="77777777" w:rsidR="00CB6969" w:rsidRPr="00B82752" w:rsidRDefault="007D01F0" w:rsidP="00E34F61">
    <w:pPr>
      <w:pStyle w:val="Kopfzeile"/>
      <w:rPr>
        <w:rFonts w:cs="Calibri (Textkörper)"/>
        <w:sz w:val="18"/>
        <w:szCs w:val="18"/>
        <w:shd w:val="clear" w:color="auto" w:fill="auto"/>
      </w:rPr>
    </w:pPr>
    <w:r w:rsidRPr="00E34F61">
      <w:rPr>
        <w:sz w:val="18"/>
        <w:szCs w:val="18"/>
      </w:rPr>
      <w:t>ISSN: 2960-4117</w:t>
    </w:r>
    <w:r w:rsidRPr="00B82752">
      <w:rPr>
        <w:sz w:val="18"/>
        <w:szCs w:val="18"/>
      </w:rPr>
      <w:tab/>
    </w:r>
    <w:r w:rsidRPr="00B82752">
      <w:rPr>
        <w:sz w:val="18"/>
        <w:szCs w:val="18"/>
      </w:rPr>
      <w:tab/>
    </w:r>
  </w:p>
  <w:p w14:paraId="7DD3F141" w14:textId="77777777" w:rsidR="00CB6969" w:rsidRPr="00F42E3F" w:rsidRDefault="00E224DB" w:rsidP="00F42E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hyperlink r:id="rId2">
      <w:r w:rsidR="007D01F0">
        <w:rPr>
          <w:rFonts w:cs="Calibri"/>
          <w:sz w:val="18"/>
          <w:szCs w:val="18"/>
        </w:rPr>
        <w:t>dislaw.at</w:t>
      </w:r>
    </w:hyperlink>
  </w:p>
  <w:p w14:paraId="46DB56CE" w14:textId="4FC46EB0" w:rsidR="00CB6969" w:rsidRPr="008B471E" w:rsidRDefault="0079322D" w:rsidP="00E34F61">
    <w:pPr>
      <w:pStyle w:val="Kopfzeile"/>
      <w:rPr>
        <w:sz w:val="18"/>
        <w:szCs w:val="18"/>
        <w:lang w:val="fr-FR"/>
      </w:rPr>
    </w:pPr>
    <w:r>
      <w:rPr>
        <w:sz w:val="18"/>
        <w:szCs w:val="18"/>
        <w:lang w:val="fr-FR"/>
      </w:rPr>
      <w:t>2025</w:t>
    </w:r>
    <w:r w:rsidR="007D01F0" w:rsidRPr="008B471E">
      <w:rPr>
        <w:sz w:val="18"/>
        <w:szCs w:val="18"/>
        <w:lang w:val="fr-FR"/>
      </w:rPr>
      <w:t xml:space="preserve">, </w:t>
    </w:r>
    <w:r>
      <w:rPr>
        <w:sz w:val="18"/>
        <w:szCs w:val="18"/>
        <w:lang w:val="fr-FR"/>
      </w:rPr>
      <w:t>2</w:t>
    </w:r>
    <w:r w:rsidR="007D01F0" w:rsidRPr="008B471E">
      <w:rPr>
        <w:sz w:val="18"/>
        <w:szCs w:val="18"/>
        <w:lang w:val="fr-FR"/>
      </w:rPr>
      <w:t xml:space="preserve">, </w:t>
    </w:r>
    <w:r>
      <w:rPr>
        <w:sz w:val="18"/>
        <w:szCs w:val="18"/>
        <w:lang w:val="fr-FR"/>
      </w:rPr>
      <w:t>29–32</w:t>
    </w:r>
  </w:p>
  <w:p w14:paraId="679DF0FA" w14:textId="6FE80CBA" w:rsidR="00CB6969" w:rsidRPr="003B3878" w:rsidRDefault="007D01F0" w:rsidP="00E34F61">
    <w:pPr>
      <w:pStyle w:val="Kopfzeile"/>
      <w:rPr>
        <w:sz w:val="18"/>
        <w:szCs w:val="18"/>
        <w:lang w:val="en-US"/>
      </w:rPr>
    </w:pPr>
    <w:r w:rsidRPr="003B3878">
      <w:rPr>
        <w:sz w:val="18"/>
        <w:szCs w:val="18"/>
        <w:lang w:val="en-US"/>
      </w:rPr>
      <w:t xml:space="preserve">DOI: </w:t>
    </w:r>
    <w:r w:rsidRPr="002E6604">
      <w:rPr>
        <w:sz w:val="18"/>
        <w:szCs w:val="18"/>
      </w:rPr>
      <w:t>10.48789</w:t>
    </w:r>
    <w:r>
      <w:rPr>
        <w:sz w:val="18"/>
        <w:szCs w:val="18"/>
      </w:rPr>
      <w:t>/</w:t>
    </w:r>
    <w:r w:rsidR="00E44560">
      <w:rPr>
        <w:sz w:val="18"/>
        <w:szCs w:val="18"/>
      </w:rPr>
      <w:t>2025.2.2</w:t>
    </w:r>
  </w:p>
  <w:p w14:paraId="3132A659" w14:textId="77777777" w:rsidR="00CB6969" w:rsidRPr="00E34F61" w:rsidRDefault="00CB6969" w:rsidP="00E34F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A5"/>
    <w:rsid w:val="00170842"/>
    <w:rsid w:val="003E5A7D"/>
    <w:rsid w:val="00495537"/>
    <w:rsid w:val="004A1EA5"/>
    <w:rsid w:val="005655D3"/>
    <w:rsid w:val="005B57DE"/>
    <w:rsid w:val="005F02F1"/>
    <w:rsid w:val="005F410C"/>
    <w:rsid w:val="006A72A1"/>
    <w:rsid w:val="0079322D"/>
    <w:rsid w:val="00793D3A"/>
    <w:rsid w:val="007D01F0"/>
    <w:rsid w:val="00854781"/>
    <w:rsid w:val="00A8593E"/>
    <w:rsid w:val="00AA0686"/>
    <w:rsid w:val="00B727FF"/>
    <w:rsid w:val="00C1018E"/>
    <w:rsid w:val="00C96164"/>
    <w:rsid w:val="00CA476A"/>
    <w:rsid w:val="00CB6969"/>
    <w:rsid w:val="00E224DB"/>
    <w:rsid w:val="00E4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C21AC"/>
  <w15:chartTrackingRefBased/>
  <w15:docId w15:val="{A2164FC8-1757-4D8F-BA23-9751DDC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EA5"/>
    <w:pPr>
      <w:spacing w:after="0" w:line="276" w:lineRule="auto"/>
      <w:jc w:val="both"/>
    </w:pPr>
    <w:rPr>
      <w:rFonts w:cstheme="minorHAnsi"/>
      <w:color w:val="3E3D40"/>
      <w:kern w:val="0"/>
      <w:shd w:val="clear" w:color="auto" w:fill="FFFFFF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1EA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shd w:val="clear" w:color="auto" w:fill="auto"/>
      <w:lang w:val="de-AT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1EA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shd w:val="clear" w:color="auto" w:fill="auto"/>
      <w:lang w:val="de-AT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A1EA5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shd w:val="clear" w:color="auto" w:fill="auto"/>
      <w:lang w:val="de-AT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1EA5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:shd w:val="clear" w:color="auto" w:fill="auto"/>
      <w:lang w:val="de-AT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A1EA5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:shd w:val="clear" w:color="auto" w:fill="auto"/>
      <w:lang w:val="de-AT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A1EA5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hd w:val="clear" w:color="auto" w:fill="auto"/>
      <w:lang w:val="de-AT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A1EA5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hd w:val="clear" w:color="auto" w:fill="auto"/>
      <w:lang w:val="de-AT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A1EA5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hd w:val="clear" w:color="auto" w:fill="auto"/>
      <w:lang w:val="de-AT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A1EA5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hd w:val="clear" w:color="auto" w:fill="auto"/>
      <w:lang w:val="de-AT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1EA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1E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1EA5"/>
    <w:rPr>
      <w:rFonts w:eastAsiaTheme="majorEastAsia" w:cstheme="majorBidi"/>
      <w:color w:val="2F5496" w:themeColor="accent1" w:themeShade="BF"/>
      <w:sz w:val="28"/>
      <w:szCs w:val="28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1EA5"/>
    <w:rPr>
      <w:rFonts w:eastAsiaTheme="majorEastAsia" w:cstheme="majorBidi"/>
      <w:i/>
      <w:iCs/>
      <w:color w:val="2F5496" w:themeColor="accent1" w:themeShade="BF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A1EA5"/>
    <w:rPr>
      <w:rFonts w:eastAsiaTheme="majorEastAsia" w:cstheme="majorBidi"/>
      <w:color w:val="2F5496" w:themeColor="accent1" w:themeShade="BF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A1EA5"/>
    <w:rPr>
      <w:rFonts w:eastAsiaTheme="majorEastAsia" w:cstheme="majorBidi"/>
      <w:i/>
      <w:iCs/>
      <w:color w:val="595959" w:themeColor="text1" w:themeTint="A6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A1EA5"/>
    <w:rPr>
      <w:rFonts w:eastAsiaTheme="majorEastAsia" w:cstheme="majorBidi"/>
      <w:color w:val="595959" w:themeColor="text1" w:themeTint="A6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1EA5"/>
    <w:rPr>
      <w:rFonts w:eastAsiaTheme="majorEastAsia" w:cstheme="majorBidi"/>
      <w:i/>
      <w:iCs/>
      <w:color w:val="272727" w:themeColor="text1" w:themeTint="D8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1EA5"/>
    <w:rPr>
      <w:rFonts w:eastAsiaTheme="majorEastAsia" w:cstheme="majorBidi"/>
      <w:color w:val="272727" w:themeColor="text1" w:themeTint="D8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4A1EA5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shd w:val="clear" w:color="auto" w:fill="auto"/>
      <w:lang w:val="de-AT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A1EA5"/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1EA5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shd w:val="clear" w:color="auto" w:fill="auto"/>
      <w:lang w:val="de-AT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1EA5"/>
    <w:rPr>
      <w:rFonts w:eastAsiaTheme="majorEastAsia" w:cstheme="majorBidi"/>
      <w:color w:val="595959" w:themeColor="text1" w:themeTint="A6"/>
      <w:spacing w:val="15"/>
      <w:sz w:val="28"/>
      <w:szCs w:val="28"/>
      <w:lang w:val="de-AT"/>
    </w:rPr>
  </w:style>
  <w:style w:type="paragraph" w:styleId="Zitat">
    <w:name w:val="Quote"/>
    <w:basedOn w:val="Standard"/>
    <w:next w:val="Standard"/>
    <w:link w:val="ZitatZchn"/>
    <w:uiPriority w:val="29"/>
    <w:qFormat/>
    <w:rsid w:val="004A1EA5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:shd w:val="clear" w:color="auto" w:fill="auto"/>
      <w:lang w:val="de-AT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A1EA5"/>
    <w:rPr>
      <w:i/>
      <w:iCs/>
      <w:color w:val="404040" w:themeColor="text1" w:themeTint="BF"/>
      <w:lang w:val="de-AT"/>
    </w:rPr>
  </w:style>
  <w:style w:type="paragraph" w:styleId="Listenabsatz">
    <w:name w:val="List Paragraph"/>
    <w:basedOn w:val="Standard"/>
    <w:uiPriority w:val="34"/>
    <w:qFormat/>
    <w:rsid w:val="004A1EA5"/>
    <w:pPr>
      <w:spacing w:after="160" w:line="259" w:lineRule="auto"/>
      <w:ind w:left="720"/>
      <w:contextualSpacing/>
      <w:jc w:val="left"/>
    </w:pPr>
    <w:rPr>
      <w:rFonts w:cstheme="minorBidi"/>
      <w:color w:val="auto"/>
      <w:kern w:val="2"/>
      <w:shd w:val="clear" w:color="auto" w:fill="auto"/>
      <w:lang w:val="de-AT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A1EA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1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:shd w:val="clear" w:color="auto" w:fill="auto"/>
      <w:lang w:val="de-AT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1EA5"/>
    <w:rPr>
      <w:i/>
      <w:iCs/>
      <w:color w:val="2F5496" w:themeColor="accent1" w:themeShade="BF"/>
      <w:lang w:val="de-AT"/>
    </w:rPr>
  </w:style>
  <w:style w:type="character" w:styleId="IntensiverVerweis">
    <w:name w:val="Intense Reference"/>
    <w:basedOn w:val="Absatz-Standardschriftart"/>
    <w:uiPriority w:val="32"/>
    <w:qFormat/>
    <w:rsid w:val="004A1EA5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qFormat/>
    <w:rsid w:val="004A1E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1EA5"/>
    <w:rPr>
      <w:rFonts w:cstheme="minorHAnsi"/>
      <w:color w:val="3E3D40"/>
      <w:kern w:val="0"/>
      <w:lang w:val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4A1E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1EA5"/>
    <w:rPr>
      <w:rFonts w:cstheme="minorHAnsi"/>
      <w:color w:val="3E3D40"/>
      <w:kern w:val="0"/>
      <w:lang w:val="de-DE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4A1EA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4A1EA5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A1EA5"/>
    <w:rPr>
      <w:rFonts w:cstheme="minorHAnsi"/>
      <w:color w:val="3E3D40"/>
      <w:kern w:val="0"/>
      <w:sz w:val="20"/>
      <w:szCs w:val="2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Krevs Birk</dc:creator>
  <cp:keywords/>
  <dc:description/>
  <cp:lastModifiedBy>reviewer</cp:lastModifiedBy>
  <cp:revision>5</cp:revision>
  <dcterms:created xsi:type="dcterms:W3CDTF">2025-07-29T14:08:00Z</dcterms:created>
  <dcterms:modified xsi:type="dcterms:W3CDTF">2025-07-30T09:38:00Z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0c540768-26b0-4f71-926d-d832dd8be60c</vt:lpwstr>
  </property>
</Properties>
</file>